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u w:val="single"/>
        </w:rPr>
      </w:pPr>
      <w:r>
        <w:rPr>
          <w:u w:val="single"/>
        </w:rPr>
      </w:r>
    </w:p>
    <w:p>
      <w:pPr>
        <w:pStyle w:val="Normal"/>
        <w:jc w:val="center"/>
        <w:rPr>
          <w:sz w:val="28"/>
          <w:u w:val="single"/>
        </w:rPr>
      </w:pPr>
      <w:bookmarkStart w:id="0" w:name="__DdeLink__0_3726444786"/>
      <w:bookmarkEnd w:id="0"/>
      <w:r>
        <w:rPr>
          <w:sz w:val="28"/>
          <w:u w:val="single"/>
        </w:rPr>
        <w:t>ТЕХНИЧЕСКИ УНИВЕРСИТЕТ – СОФИЯ</w:t>
      </w:r>
    </w:p>
    <w:p>
      <w:pPr>
        <w:pStyle w:val="Normal"/>
        <w:jc w:val="center"/>
        <w:rPr>
          <w:sz w:val="28"/>
          <w:u w:val="single"/>
        </w:rPr>
      </w:pPr>
      <w:r>
        <w:rPr>
          <w:sz w:val="28"/>
          <w:u w:val="single"/>
        </w:rPr>
        <w:t>СТОПАНСКИ ФАКУЛТЕТ</w:t>
      </w:r>
    </w:p>
    <w:p>
      <w:pPr>
        <w:pStyle w:val="Normal"/>
        <w:jc w:val="center"/>
        <w:rPr>
          <w:sz w:val="28"/>
          <w:u w:val="single"/>
        </w:rPr>
      </w:pPr>
      <w:r>
        <w:rPr>
          <w:sz w:val="28"/>
          <w:u w:val="single"/>
        </w:rPr>
        <w:t>Faculty of Economics</w:t>
      </w:r>
    </w:p>
    <w:p>
      <w:pPr>
        <w:pStyle w:val="Normal"/>
        <w:jc w:val="center"/>
        <w:rPr>
          <w:sz w:val="28"/>
          <w:u w:val="single"/>
        </w:rPr>
      </w:pPr>
      <w:r>
        <w:rPr>
          <w:sz w:val="28"/>
          <w:u w:val="single"/>
        </w:rPr>
        <w:t>Катедра “Икономика, индустриален инженеринг и мениджмънт”</w:t>
      </w:r>
    </w:p>
    <w:p>
      <w:pPr>
        <w:pStyle w:val="Normal"/>
        <w:tabs>
          <w:tab w:val="clear" w:pos="720"/>
          <w:tab w:val="left" w:pos="3315" w:leader="none"/>
          <w:tab w:val="center" w:pos="4320" w:leader="none"/>
        </w:tabs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tabs>
          <w:tab w:val="clear" w:pos="720"/>
          <w:tab w:val="left" w:pos="3315" w:leader="none"/>
          <w:tab w:val="center" w:pos="4320" w:leader="none"/>
        </w:tabs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tabs>
          <w:tab w:val="clear" w:pos="720"/>
          <w:tab w:val="left" w:pos="3315" w:leader="none"/>
          <w:tab w:val="center" w:pos="4320" w:leader="none"/>
        </w:tabs>
        <w:rPr>
          <w:sz w:val="36"/>
          <w:lang w:val="bg-BG"/>
        </w:rPr>
      </w:pPr>
      <w:r>
        <w:rPr>
          <w:sz w:val="36"/>
          <w:lang w:val="bg-BG"/>
        </w:rPr>
        <w:tab/>
        <w:t>РЕФЕРАТ</w:t>
      </w:r>
    </w:p>
    <w:p>
      <w:pPr>
        <w:pStyle w:val="Normal"/>
        <w:jc w:val="center"/>
        <w:rPr/>
      </w:pPr>
      <w:r>
        <w:rPr>
          <w:sz w:val="36"/>
        </w:rPr>
        <w:t xml:space="preserve">ПО  </w:t>
      </w:r>
      <w:r>
        <w:rPr>
          <w:sz w:val="36"/>
          <w:lang w:val="bg-BG"/>
        </w:rPr>
        <w:t>ПОЛИТОЛОГИЯ</w:t>
      </w:r>
      <w:r>
        <w:rPr>
          <w:sz w:val="36"/>
        </w:rPr>
        <w:t xml:space="preserve"> НА ТЕМА: </w:t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  <w:t>Новите млади и участието им  политическите процеси в България</w:t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</w:r>
    </w:p>
    <w:p>
      <w:pPr>
        <w:pStyle w:val="Normal"/>
        <w:jc w:val="center"/>
        <w:rPr/>
      </w:pPr>
      <w:r>
        <w:rPr>
          <w:sz w:val="40"/>
          <w:u w:val="single"/>
        </w:rPr>
        <w:t xml:space="preserve">                                                     </w:t>
      </w:r>
    </w:p>
    <w:p>
      <w:pPr>
        <w:pStyle w:val="Normal"/>
        <w:jc w:val="right"/>
        <w:rPr/>
      </w:pPr>
      <w:r>
        <w:rPr>
          <w:sz w:val="40"/>
          <w:u w:val="single"/>
        </w:rPr>
        <w:t xml:space="preserve">                                                          </w:t>
      </w:r>
      <w:r>
        <w:rPr>
          <w:sz w:val="32"/>
        </w:rPr>
        <w:t xml:space="preserve">Проверил:............................ </w:t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  <w:t xml:space="preserve">                                                            </w:t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  <w:t xml:space="preserve">     </w:t>
      </w:r>
    </w:p>
    <w:p>
      <w:pPr>
        <w:pStyle w:val="Normal"/>
        <w:jc w:val="center"/>
        <w:rPr>
          <w:sz w:val="40"/>
          <w:u w:val="single"/>
        </w:rPr>
      </w:pPr>
      <w:r>
        <w:rPr>
          <w:sz w:val="40"/>
          <w:u w:val="single"/>
        </w:rPr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</w:rPr>
        <w:t>201</w:t>
      </w:r>
      <w:r>
        <w:rPr>
          <w:sz w:val="40"/>
          <w:u w:val="single"/>
          <w:lang w:val="bg-BG"/>
        </w:rPr>
        <w:t>5</w:t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</w:rPr>
        <w:t>гр. София</w:t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jc w:val="center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  <w:t xml:space="preserve">Новите млади и участието им  политическите процеси в България </w:t>
      </w:r>
    </w:p>
    <w:p>
      <w:pPr>
        <w:pStyle w:val="Normal"/>
        <w:rPr>
          <w:sz w:val="40"/>
          <w:u w:val="single"/>
          <w:lang w:val="bg-BG"/>
        </w:rPr>
      </w:pPr>
      <w:r>
        <w:rPr>
          <w:sz w:val="40"/>
          <w:u w:val="single"/>
          <w:lang w:val="bg-BG"/>
        </w:rPr>
      </w:r>
    </w:p>
    <w:p>
      <w:pPr>
        <w:pStyle w:val="Normal"/>
        <w:ind w:firstLine="720"/>
        <w:rPr>
          <w:color w:val="FF0000"/>
          <w:lang w:val="bg-BG"/>
        </w:rPr>
      </w:pPr>
      <w:r>
        <w:rPr>
          <w:lang w:val="bg-BG"/>
        </w:rPr>
        <w:t xml:space="preserve">Младите хора –най – често именно те са двигателят на промяната. Това е особено валидно за  развиващи се страни като България - страна с неукрепнали институции, проядени от корупция, с неработеща съдебна система,  страна, раздирана от постоянни обществени скандали. Нека си припомним, че именно младите студенти бяха в първите редици по барикадите през зимата на 1997 година. Те поведоха народното недоволство срещу една девалвираща политика, ограбила спестяванията на десетки хиляди българи. </w:t>
      </w:r>
    </w:p>
    <w:p>
      <w:pPr>
        <w:pStyle w:val="Normal"/>
        <w:ind w:firstLine="720"/>
        <w:rPr>
          <w:lang w:val="bg-BG"/>
        </w:rPr>
      </w:pPr>
      <w:r>
        <w:rPr>
          <w:lang w:val="bg-BG"/>
        </w:rPr>
        <w:t xml:space="preserve">Преди да продължа по – нататък бих искал да направя едно разграничение що се отнася до българската младеж. Напоследък няколко изследователи, занимаващи се с младежка политика правят разграничение между „стари” и „млади” младежи. Според тях под понятието „стари младежи” би следвало да се разбират родените и отраснали в годините на социализма. Това са тези млади, възпитани в патриархален дух и живели по времето на централизираната икономика. Обратно на тях „новите млади”  са израсналите и възпитани изключително в периода след промените от 1989г., това са тези, незнаещи какво е комсомол и ДКМС, необременени от всякаква идеология. Още една отличителна характеристика на новите млади – това че те имат много по – широк кръгозор и източници на информация – глобалната мрежа ИНТЕРНЕТ, радиа, телевизии, вестници и така нашумелите напоследък блогове. </w:t>
      </w:r>
    </w:p>
    <w:p>
      <w:pPr>
        <w:pStyle w:val="Normal"/>
        <w:ind w:firstLine="720"/>
        <w:rPr>
          <w:lang w:val="bg-BG"/>
        </w:rPr>
      </w:pPr>
      <w:r>
        <w:rPr>
          <w:lang w:val="bg-BG"/>
        </w:rPr>
        <w:t>Какво е участието на българските младежи в протичащите обществено – политически процеси в страната? На този въпрос са посветени редица изследвания.</w:t>
      </w:r>
    </w:p>
    <w:p>
      <w:pPr>
        <w:pStyle w:val="Normal"/>
        <w:rPr>
          <w:lang w:val="bg-BG"/>
        </w:rPr>
      </w:pPr>
      <w:r>
        <w:rPr>
          <w:lang w:val="bg-BG"/>
        </w:rPr>
        <w:t>Според едно такова изследване на  "Евробарометър", проведено сред 19 хил. европейци на възраст между 15 и 30 години младите българи са сред най-незаинтересуваните от политика и обществени дейности. В същото проучване се посочва още 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Българските младежи, склонни да участват в една или друга организация, са едва седем на сто. За сравнение активните младежи в Дания например са 47%. Заедно с нас като най - неактивни се открияват и румънците. </w:t>
      </w:r>
    </w:p>
    <w:p>
      <w:pPr>
        <w:pStyle w:val="Normal"/>
        <w:ind w:left="360" w:hanging="0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От тези 7 % основно българските младежи са заети в предимно в спортни клубове, които се ползват с най – голяма популярност сред младежите.</w:t>
      </w:r>
    </w:p>
    <w:p>
      <w:pPr>
        <w:pStyle w:val="Normal"/>
        <w:ind w:left="360" w:hanging="0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Процентът на българите, които не знаят как действията им могат да окажат влияние върху политиката, е най-голям за целия ЕС - близо 1/5-та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Българските и румънските младежи са най-малко склонни да участват в някакъв вид доброволческа обществена работа.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Тези тревожни данни са продължени и в Годишния доклад за младежта за 2006г., където се посочва още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Кафенето е новият "младежки дом" за младите хора, като 70 процента от тях са почти ежедневно в него</w:t>
      </w:r>
    </w:p>
    <w:p>
      <w:pPr>
        <w:pStyle w:val="Normal"/>
        <w:ind w:left="360" w:hanging="0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Една трета /32 на сто/ от младежите са ежедневно пред компютъра, преди всичко за игра и чат. Тревожното е, че над 70 процента от младите хора /20-35 г./ не само че не практикуват какъвто и да било спорт редовно, но и въобще не са правили нещо подобно в рамките на една година, се посочва в доклада. В него са отбелязани седем приоритетни сфери.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Младите хора нямат усещането, че живеят в правово общество, че има сила и институция, която да се противопостави на отклоняващото се поведение и престъпността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ind w:left="360" w:hanging="0"/>
        <w:rPr>
          <w:lang w:val="bg-BG"/>
        </w:rPr>
      </w:pPr>
      <w:r>
        <w:rPr>
          <w:lang w:val="bg-BG"/>
        </w:rPr>
      </w:r>
    </w:p>
    <w:p>
      <w:pPr>
        <w:pStyle w:val="Normal"/>
        <w:ind w:firstLine="360"/>
        <w:rPr>
          <w:lang w:val="bg-BG"/>
        </w:rPr>
      </w:pPr>
      <w:r>
        <w:rPr>
          <w:lang w:val="bg-BG"/>
        </w:rPr>
        <w:t>Доверявайки се на посочените по – горе изводи стигаме до следния парадокс –какво стана с онази будна, ентусиазирана, радикална в исканията си за промяна на политическото статукво младеж от янури - февруари 1997 и 10 години по – късно. Как можем да си обясним тази метаморфоза? Според мен основният фактор за дезаинтересоваността и  апатията, налегнала младите хора, е липсата на доверие в цялата политическа класа, както и това, че те не виждат тази промяна, която би ги удоволетворила, заради която стояха с дни по барикадите през 1997г.. И затова голяма вина имат политиците, онези, които скандираха от трибуната „Ние няма да ви предадем”, а направиха точно това и то по най – грубия и безцеремонен начин.</w:t>
      </w:r>
    </w:p>
    <w:p>
      <w:pPr>
        <w:pStyle w:val="Normal"/>
        <w:rPr/>
      </w:pPr>
      <w:r>
        <w:rPr>
          <w:lang w:val="bg-BG"/>
        </w:rPr>
        <w:tab/>
        <w:t xml:space="preserve">През последната половин година обаче имаше няколко събития, които ни дават основание да гледаме по – ведро на ситуацията и да си кажем, че все пак има светлина в тунела. </w:t>
      </w:r>
    </w:p>
    <w:p>
      <w:pPr>
        <w:pStyle w:val="Normal"/>
        <w:ind w:firstLine="720"/>
        <w:rPr>
          <w:lang w:val="bg-BG"/>
        </w:rPr>
      </w:pPr>
      <w:r>
        <w:rPr>
          <w:lang w:val="bg-BG"/>
        </w:rPr>
        <w:t>Едно от тези събития бяха протестите срещу опитите за посегателство над Национален парк Странджа. Всички ние си спомняне за стотиците млади хора на Орлов мост и по централните софийски улици.Онези облечени някак си небрежно младежи, веднъж в пижами, друг път с раници на гърба, трети път каращи колела, с лепенки на устата. Тези акции бяха сигнал, че българската младеж е готова на сериозен отпор срещу такива нагли действия от страна на държавната машина. Но те бяха и пример за активна гражданска позиция.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ind w:firstLine="720"/>
        <w:rPr>
          <w:lang w:val="bg-BG"/>
        </w:rPr>
      </w:pPr>
      <w:r>
        <w:rPr>
          <w:lang w:val="bg-BG"/>
        </w:rPr>
        <w:t>Друга такава масова проява беше поредицата от протести на Движението на младите учени „2х3х”</w:t>
      </w:r>
      <w:r>
        <w:rPr/>
        <w:t xml:space="preserve"> </w:t>
      </w:r>
      <w:r>
        <w:rPr>
          <w:lang w:val="bg-BG"/>
        </w:rPr>
        <w:t xml:space="preserve">в защита на българската наука. Те търкаляха тикви срещу безпросветността, измерваха радиацията в сградата на Министерски съвет на РБългария, проведоха факелно шествия. Техните справедливи искания бяха подкрепети от редица ВУЗ-ове в страната, софийски гимназии и от НПО – та като Асоциацията за изследване и развитие на гражданското общество.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rFonts w:ascii="Verdana" w:hAnsi="Verdana" w:cs="Verdana"/>
          <w:color w:val="646464"/>
          <w:sz w:val="17"/>
          <w:szCs w:val="17"/>
          <w:lang w:val="bg-BG"/>
        </w:rPr>
      </w:pPr>
      <w:r>
        <w:rPr>
          <w:rFonts w:cs="Verdana" w:ascii="Verdana" w:hAnsi="Verdana"/>
          <w:color w:val="646464"/>
          <w:sz w:val="17"/>
          <w:szCs w:val="17"/>
          <w:lang w:val="bg-BG"/>
        </w:rPr>
      </w:r>
    </w:p>
    <w:p>
      <w:pPr>
        <w:pStyle w:val="Normal"/>
        <w:rPr>
          <w:rFonts w:ascii="Verdana" w:hAnsi="Verdana" w:cs="Verdana"/>
          <w:color w:val="646464"/>
          <w:sz w:val="17"/>
          <w:szCs w:val="17"/>
          <w:lang w:val="bg-BG"/>
        </w:rPr>
      </w:pPr>
      <w:r>
        <w:rPr>
          <w:rFonts w:cs="Verdana" w:ascii="Verdana" w:hAnsi="Verdana"/>
          <w:color w:val="646464"/>
          <w:sz w:val="17"/>
          <w:szCs w:val="17"/>
          <w:lang w:val="bg-BG"/>
        </w:rPr>
      </w:r>
    </w:p>
    <w:p>
      <w:pPr>
        <w:pStyle w:val="Normal"/>
        <w:rPr>
          <w:rFonts w:ascii="Verdana" w:hAnsi="Verdana" w:cs="Verdana"/>
          <w:color w:val="646464"/>
          <w:sz w:val="17"/>
          <w:szCs w:val="17"/>
          <w:lang w:val="bg-BG"/>
        </w:rPr>
      </w:pPr>
      <w:r>
        <w:rPr>
          <w:rFonts w:cs="Verdana" w:ascii="Verdana" w:hAnsi="Verdana"/>
          <w:color w:val="646464"/>
          <w:sz w:val="17"/>
          <w:szCs w:val="17"/>
          <w:lang w:val="bg-BG"/>
        </w:rPr>
      </w:r>
    </w:p>
    <w:p>
      <w:pPr>
        <w:pStyle w:val="Normal"/>
        <w:rPr>
          <w:rFonts w:ascii="Verdana" w:hAnsi="Verdana" w:cs="Verdana"/>
          <w:color w:val="646464"/>
          <w:sz w:val="17"/>
          <w:szCs w:val="17"/>
          <w:lang w:val="bg-BG"/>
        </w:rPr>
      </w:pPr>
      <w:r>
        <w:rPr>
          <w:rFonts w:cs="Verdana" w:ascii="Verdana" w:hAnsi="Verdana"/>
          <w:color w:val="646464"/>
          <w:sz w:val="17"/>
          <w:szCs w:val="17"/>
          <w:lang w:val="bg-BG"/>
        </w:rPr>
      </w:r>
    </w:p>
    <w:p>
      <w:pPr>
        <w:pStyle w:val="Normal"/>
        <w:rPr>
          <w:rFonts w:ascii="Verdana" w:hAnsi="Verdana" w:cs="Verdana"/>
          <w:color w:val="646464"/>
          <w:sz w:val="17"/>
          <w:szCs w:val="17"/>
          <w:lang w:val="bg-BG"/>
        </w:rPr>
      </w:pPr>
      <w:r>
        <w:rPr>
          <w:rFonts w:cs="Verdana" w:ascii="Verdana" w:hAnsi="Verdana"/>
          <w:color w:val="646464"/>
          <w:sz w:val="17"/>
          <w:szCs w:val="17"/>
          <w:lang w:val="bg-BG"/>
        </w:rPr>
      </w:r>
    </w:p>
    <w:p>
      <w:pPr>
        <w:pStyle w:val="Normal"/>
        <w:rPr>
          <w:b/>
          <w:b/>
          <w:lang w:val="bg-BG"/>
        </w:rPr>
      </w:pPr>
      <w:r>
        <w:rPr>
          <w:b/>
          <w:lang w:val="bg-BG"/>
        </w:rPr>
        <w:t xml:space="preserve">Асоциацията за изследване и развитие на гражданското общество – създадена от и за младите хора </w:t>
      </w:r>
    </w:p>
    <w:p>
      <w:pPr>
        <w:pStyle w:val="Normal"/>
        <w:rPr>
          <w:b/>
          <w:b/>
          <w:lang w:val="bg-BG"/>
        </w:rPr>
      </w:pPr>
      <w:r>
        <w:rPr>
          <w:b/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Една от организациите, създадени с цел обединяване на усилията на младите хора е Асоциацията за изследване и развитие на гражданското общество. Сдружението е създадено през 2005г. със следните основни цели 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Style491"/>
          <w:rFonts w:cs="Times New Roman"/>
          <w:sz w:val="24"/>
          <w:szCs w:val="24"/>
          <w:lang w:val="bg-BG"/>
        </w:rPr>
        <w:t>1.</w:t>
      </w:r>
      <w:r>
        <w:rPr>
          <w:rStyle w:val="Style491"/>
          <w:rFonts w:cs="Times New Roman"/>
          <w:sz w:val="24"/>
          <w:szCs w:val="24"/>
        </w:rPr>
        <w:t>Утвърждаване  и развитие на  ценностите на гражданското общество.</w:t>
      </w:r>
      <w:r>
        <w:rPr/>
        <w:br/>
      </w:r>
      <w:r>
        <w:rPr>
          <w:rStyle w:val="Style491"/>
          <w:rFonts w:cs="Times New Roman"/>
          <w:sz w:val="24"/>
          <w:szCs w:val="24"/>
        </w:rPr>
        <w:t>2. Защита свободата, достойнството, спокойствието и самочувствието на гражданите и на техните граждански права.</w:t>
      </w:r>
      <w:r>
        <w:rPr/>
        <w:br/>
      </w:r>
      <w:r>
        <w:rPr>
          <w:rStyle w:val="Style491"/>
          <w:rFonts w:cs="Times New Roman"/>
          <w:sz w:val="24"/>
          <w:szCs w:val="24"/>
        </w:rPr>
        <w:t>3. Граждански контрол върху законосъобразността на действията на общинската и държавната администрация, народните представители и представителите на съдебната власт.</w:t>
      </w:r>
      <w:r>
        <w:rPr/>
        <w:br/>
      </w:r>
      <w:r>
        <w:rPr>
          <w:rStyle w:val="Style491"/>
          <w:rFonts w:cs="Times New Roman"/>
          <w:sz w:val="24"/>
          <w:szCs w:val="24"/>
        </w:rPr>
        <w:t>4. Осъщестяване на младежки дейности и младежка политика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Style491"/>
          <w:rFonts w:cs="Times New Roman"/>
          <w:sz w:val="24"/>
          <w:szCs w:val="24"/>
          <w:lang w:val="bg-BG"/>
        </w:rPr>
        <w:t>За времето от своето съществуване АРГО е провело следните дейности :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>
          <w:rStyle w:val="Style491"/>
          <w:rFonts w:cs="Times New Roman"/>
          <w:sz w:val="24"/>
          <w:szCs w:val="24"/>
          <w:lang w:val="bg-BG"/>
        </w:rPr>
        <w:t>В края на 2006г. участва заедно с младежи от различни държави в среща с представители на Съвета за децата и младежта</w:t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>
          <w:rStyle w:val="Style491"/>
          <w:rFonts w:cs="Times New Roman"/>
          <w:sz w:val="24"/>
          <w:szCs w:val="24"/>
          <w:lang w:val="bg-BG"/>
        </w:rPr>
        <w:t>Участие на годишните срещи БГ Младеж, на които сме изказвали наши мнения и препоръки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>
          <w:rStyle w:val="Style491"/>
          <w:rFonts w:cs="Times New Roman"/>
          <w:sz w:val="24"/>
          <w:szCs w:val="24"/>
          <w:lang w:val="bg-BG"/>
        </w:rPr>
        <w:t>Публична подкрепа за нашите несправедливо осъдени медици в Либия, изразена  в нарочна зекларация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>
          <w:rStyle w:val="Style491"/>
          <w:rFonts w:cs="Times New Roman"/>
          <w:sz w:val="24"/>
          <w:szCs w:val="24"/>
          <w:lang w:val="bg-BG"/>
        </w:rPr>
        <w:t>Участие  в дискусия посветена на възпитанието в ценностите на гражданското общество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Style491"/>
          <w:rFonts w:cs="Times New Roman"/>
          <w:sz w:val="24"/>
          <w:szCs w:val="24"/>
          <w:lang w:val="bg-BG"/>
        </w:rPr>
        <w:t xml:space="preserve">Подкрепа за  закона за добловолчеството, предложен от сдружение </w:t>
      </w:r>
      <w:r>
        <w:rPr>
          <w:rStyle w:val="Style491"/>
          <w:rFonts w:cs="Times New Roman"/>
          <w:sz w:val="24"/>
          <w:szCs w:val="24"/>
        </w:rPr>
        <w:t>CVS – Bulgaria</w:t>
      </w:r>
    </w:p>
    <w:p>
      <w:pPr>
        <w:pStyle w:val="Normal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Style491"/>
          <w:rFonts w:cs="Times New Roman"/>
          <w:sz w:val="24"/>
          <w:szCs w:val="24"/>
          <w:lang w:val="bg-BG"/>
        </w:rPr>
        <w:t>На 26 март 2007г. участие в дискусия на тема „Българската визия за бъдещето на ЕС – липсващото мнение”</w:t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  <w:bookmarkStart w:id="1" w:name="__DdeLink__0_3726444786"/>
      <w:bookmarkStart w:id="2" w:name="__DdeLink__0_3726444786"/>
      <w:bookmarkEnd w:id="2"/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ind w:left="360" w:hanging="0"/>
        <w:rPr>
          <w:rStyle w:val="Style491"/>
          <w:rFonts w:ascii="Times New Roman" w:hAnsi="Times New Roman" w:cs="Times New Roman"/>
          <w:sz w:val="24"/>
          <w:szCs w:val="24"/>
          <w:lang w:val="bg-BG"/>
        </w:rPr>
      </w:pPr>
      <w:r>
        <w:rPr/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rStyle w:val="Style491"/>
          <w:rFonts w:cs="Times New Roman"/>
          <w:sz w:val="24"/>
          <w:szCs w:val="24"/>
          <w:lang w:val="bg-BG"/>
        </w:rPr>
        <w:t xml:space="preserve">На 25 април 2007г. участие в БТА на Пети дискусионен форум </w:t>
      </w:r>
      <w:r>
        <w:rPr/>
        <w:t>“Участието в избори за държавни и местни органи – значимо гражданско право или загуба на енергия и време за съвременния българин”, организирана от частно училище "Рьорих".</w:t>
      </w:r>
      <w:r>
        <w:rPr>
          <w:lang w:val="bg-BG"/>
        </w:rPr>
        <w:t xml:space="preserve"> По време на тази дискусия </w:t>
      </w:r>
      <w:r>
        <w:rPr/>
        <w:t>АРГО застъпи тезата за засилване на мажоритарния вот чрез въвеждането на преференциалната пропорционална избирателна система</w:t>
      </w:r>
    </w:p>
    <w:p>
      <w:pPr>
        <w:pStyle w:val="Normal"/>
        <w:ind w:left="360" w:hanging="0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 xml:space="preserve">Включихме се в гражданската коалиция „На мен ми пука”, провеждаща кампанията „Бъди човек” </w:t>
      </w:r>
      <w:r>
        <w:rPr/>
        <w:t>(www.badichovek.eu)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Шествие в защита на НП Странджа – 19 юли 2007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Свобода за електронното изразяване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Включване в честванията по повод 12 август – Международен ден на младежта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Подкрепа за младите учени на България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Arial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Verdana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  <w:rFonts w:cs="Times New Roman"/>
        <w:lang w:val="bg-BG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Wingdings"/>
        <w:lang w:val="bg-BG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Wingdings"/>
        <w:lang w:val="bg-BG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Noto Sans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>
      <w:rFonts w:ascii="Symbol" w:hAnsi="Symbol" w:eastAsia="Times New Roman" w:cs="Times New Roman"/>
      <w:sz w:val="24"/>
      <w:szCs w:val="24"/>
      <w:lang w:val="bg-BG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  <w:sz w:val="20"/>
    </w:rPr>
  </w:style>
  <w:style w:type="character" w:styleId="WW8Num5z1">
    <w:name w:val="WW8Num5z1"/>
    <w:qFormat/>
    <w:rPr>
      <w:rFonts w:ascii="Courier New" w:hAnsi="Courier New" w:cs="Courier New"/>
      <w:sz w:val="20"/>
    </w:rPr>
  </w:style>
  <w:style w:type="character" w:styleId="WW8Num5z2">
    <w:name w:val="WW8Num5z2"/>
    <w:qFormat/>
    <w:rPr>
      <w:rFonts w:ascii="Wingdings" w:hAnsi="Wingdings" w:cs="Wingdings"/>
      <w:sz w:val="20"/>
    </w:rPr>
  </w:style>
  <w:style w:type="character" w:styleId="WW8Num6z0">
    <w:name w:val="WW8Num6z0"/>
    <w:qFormat/>
    <w:rPr>
      <w:rFonts w:ascii="Wingdings" w:hAnsi="Wingdings" w:cs="Wingdings"/>
      <w:lang w:val="bg-BG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Wingdings" w:hAnsi="Wingdings" w:cs="Wingdings"/>
      <w:lang w:val="bg-BG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Style14">
    <w:name w:val="Шрифт на абзаца по подразбиране"/>
    <w:qFormat/>
    <w:rPr/>
  </w:style>
  <w:style w:type="character" w:styleId="Style491">
    <w:name w:val="style491"/>
    <w:qFormat/>
    <w:rPr>
      <w:rFonts w:ascii="Arial" w:hAnsi="Arial" w:cs="Arial"/>
      <w:sz w:val="18"/>
      <w:szCs w:val="18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lovo1">
    <w:name w:val="slovo1"/>
    <w:basedOn w:val="Normal"/>
    <w:qFormat/>
    <w:pPr>
      <w:ind w:firstLine="300"/>
      <w:jc w:val="both"/>
    </w:pPr>
    <w:rPr>
      <w:color w:val="000000"/>
    </w:rPr>
  </w:style>
  <w:style w:type="paragraph" w:styleId="Style15">
    <w:name w:val="Нормален (уеб)"/>
    <w:basedOn w:val="Normal"/>
    <w:qFormat/>
    <w:pPr>
      <w:spacing w:before="280" w:after="280"/>
    </w:pPr>
    <w:rPr>
      <w:rFonts w:ascii="Verdana" w:hAnsi="Verdana" w:cs="Verdana"/>
      <w:color w:val="69655A"/>
      <w:sz w:val="20"/>
      <w:szCs w:val="20"/>
    </w:rPr>
  </w:style>
  <w:style w:type="paragraph" w:styleId="Style23">
    <w:name w:val="style23"/>
    <w:basedOn w:val="Normal"/>
    <w:qFormat/>
    <w:pPr>
      <w:spacing w:before="280" w:after="280"/>
    </w:pPr>
    <w:rPr>
      <w:rFonts w:ascii="Arial" w:hAnsi="Arial" w:cs="Arial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LibreOffice/6.2.2.2$Linux_X86_64 LibreOffice_project/20$Build-2</Application>
  <Pages>5</Pages>
  <Words>1103</Words>
  <Characters>6115</Characters>
  <CharactersWithSpaces>7376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2016-01-10T16:34:00Z</dcterms:created>
  <dc:creator>dani</dc:creator>
  <dc:description/>
  <cp:keywords/>
  <dc:language>en-US</dc:language>
  <cp:lastModifiedBy>user</cp:lastModifiedBy>
  <dcterms:modified xsi:type="dcterms:W3CDTF">2018-04-16T19:45:00Z</dcterms:modified>
  <cp:revision>4</cp:revision>
  <dc:subject/>
  <dc:title>Участие на младите хора и тяхното участие в гражданските и политическите процеси в България –</dc:title>
</cp:coreProperties>
</file>